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850.3937007874016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АННОТАЦИЯ</w:t>
      </w:r>
    </w:p>
    <w:p w:rsidR="00000000" w:rsidDel="00000000" w:rsidP="00000000" w:rsidRDefault="00000000" w:rsidRPr="00000000" w14:paraId="00000002">
      <w:pPr>
        <w:ind w:left="-850.3937007874016" w:firstLine="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учебной дисциплины «Учебная практика: ознакомительная практика»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850.3937007874016" w:firstLine="0"/>
        <w:jc w:val="center"/>
        <w:rPr/>
      </w:pPr>
      <w:r w:rsidDel="00000000" w:rsidR="00000000" w:rsidRPr="00000000">
        <w:rPr>
          <w:rtl w:val="0"/>
        </w:rPr>
        <w:t xml:space="preserve">Направление подготовки 12.03.01 «Приборостроение»</w:t>
      </w:r>
    </w:p>
    <w:p w:rsidR="00000000" w:rsidDel="00000000" w:rsidP="00000000" w:rsidRDefault="00000000" w:rsidRPr="00000000" w14:paraId="00000004">
      <w:pPr>
        <w:ind w:left="-850.3937007874016" w:firstLine="0"/>
        <w:jc w:val="center"/>
        <w:rPr/>
      </w:pPr>
      <w:r w:rsidDel="00000000" w:rsidR="00000000" w:rsidRPr="00000000">
        <w:rPr>
          <w:rtl w:val="0"/>
        </w:rPr>
        <w:t xml:space="preserve">Образовательная программа «Приборы и методы контроля качества и диагностики»</w:t>
      </w:r>
    </w:p>
    <w:p w:rsidR="00000000" w:rsidDel="00000000" w:rsidP="00000000" w:rsidRDefault="00000000" w:rsidRPr="00000000" w14:paraId="00000005">
      <w:pPr>
        <w:widowControl w:val="0"/>
        <w:ind w:left="-850.3937007874016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ind w:left="-850.3937007874016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Цели изучения дисциплины: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2"/>
        </w:numPr>
        <w:ind w:left="-850.3937007874016" w:firstLine="0"/>
        <w:jc w:val="both"/>
        <w:rPr/>
      </w:pPr>
      <w:r w:rsidDel="00000000" w:rsidR="00000000" w:rsidRPr="00000000">
        <w:rPr>
          <w:rtl w:val="0"/>
        </w:rPr>
        <w:t xml:space="preserve">ознакомление с основными технологическими процессами на предприятии;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2"/>
        </w:numPr>
        <w:ind w:left="-850.3937007874016" w:firstLine="0"/>
        <w:jc w:val="both"/>
        <w:rPr/>
      </w:pPr>
      <w:r w:rsidDel="00000000" w:rsidR="00000000" w:rsidRPr="00000000">
        <w:rPr>
          <w:rtl w:val="0"/>
        </w:rPr>
        <w:t xml:space="preserve">определение места и роли систем технической диагностики и неразрушающего контроля в технологическом процессе получения электроэнергии на АЭС;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2"/>
        </w:numPr>
        <w:ind w:left="-850.3937007874016" w:firstLine="0"/>
        <w:jc w:val="both"/>
        <w:rPr/>
      </w:pPr>
      <w:r w:rsidDel="00000000" w:rsidR="00000000" w:rsidRPr="00000000">
        <w:rPr>
          <w:rtl w:val="0"/>
        </w:rPr>
        <w:t xml:space="preserve">закрепление и углубление знаний по применению неразрушающего контроля и технической диагностики в атомной энергетике;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2"/>
        </w:numPr>
        <w:ind w:left="-850.3937007874016" w:firstLine="0"/>
        <w:jc w:val="both"/>
        <w:rPr/>
      </w:pPr>
      <w:r w:rsidDel="00000000" w:rsidR="00000000" w:rsidRPr="00000000">
        <w:rPr>
          <w:rtl w:val="0"/>
        </w:rPr>
        <w:t xml:space="preserve">приобретение опыта работы в коллективе.</w:t>
      </w:r>
    </w:p>
    <w:p w:rsidR="00000000" w:rsidDel="00000000" w:rsidP="00000000" w:rsidRDefault="00000000" w:rsidRPr="00000000" w14:paraId="0000000B">
      <w:pPr>
        <w:widowControl w:val="0"/>
        <w:ind w:left="-850.3937007874016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Задачи изучения дисциплины: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2"/>
        </w:numPr>
        <w:ind w:left="-850.3937007874016" w:firstLine="0"/>
        <w:jc w:val="both"/>
        <w:rPr/>
      </w:pPr>
      <w:r w:rsidDel="00000000" w:rsidR="00000000" w:rsidRPr="00000000">
        <w:rPr>
          <w:rtl w:val="0"/>
        </w:rPr>
        <w:t xml:space="preserve">ознакомление с организацией работы подразделений НИИ, занимающихся контролем и диагностикой реакторных установок;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2"/>
        </w:numPr>
        <w:ind w:left="-850.3937007874016" w:firstLine="0"/>
        <w:jc w:val="both"/>
        <w:rPr/>
      </w:pPr>
      <w:r w:rsidDel="00000000" w:rsidR="00000000" w:rsidRPr="00000000">
        <w:rPr>
          <w:rtl w:val="0"/>
        </w:rPr>
        <w:t xml:space="preserve">ознакомление с правилами и условиями эксплуатации, ремонта и применения приборов и систем неразрушающего контроля и технической диагностики;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2"/>
        </w:numPr>
        <w:ind w:left="-850.3937007874016" w:firstLine="0"/>
        <w:jc w:val="both"/>
        <w:rPr/>
      </w:pPr>
      <w:r w:rsidDel="00000000" w:rsidR="00000000" w:rsidRPr="00000000">
        <w:rPr>
          <w:rtl w:val="0"/>
        </w:rPr>
        <w:t xml:space="preserve">ознакомление с номенклатурой документов неразрушающего контроля и технической диагностики и содержанием нормативно-технической документацией на неразрушающий контроль и техническую диагностику в атомной энергетике;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2"/>
        </w:numPr>
        <w:ind w:left="-850.3937007874016" w:firstLine="0"/>
        <w:jc w:val="both"/>
        <w:rPr/>
      </w:pPr>
      <w:r w:rsidDel="00000000" w:rsidR="00000000" w:rsidRPr="00000000">
        <w:rPr>
          <w:rtl w:val="0"/>
        </w:rPr>
        <w:t xml:space="preserve">приобретение опыта работы в коллективе.</w:t>
      </w:r>
    </w:p>
    <w:p w:rsidR="00000000" w:rsidDel="00000000" w:rsidP="00000000" w:rsidRDefault="00000000" w:rsidRPr="00000000" w14:paraId="00000010">
      <w:pPr>
        <w:widowControl w:val="0"/>
        <w:ind w:left="-850.3937007874016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ind w:left="-850.3937007874016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Место дисциплины в структуре ООП: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0.393700787401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Практика проводится в ГНЦ РФ ФЭИ (г. Обнинск). Контингент студентов, направляемых на конкретные места практики, формируется кафедрой.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0.393700787401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соответствии с учебным планом длительность учебно-ознакомительной практики составляет 4 учебных недели после экзаменационной сессии </w:t>
      </w:r>
      <w:r w:rsidDel="00000000" w:rsidR="00000000" w:rsidRPr="00000000">
        <w:rPr>
          <w:rtl w:val="0"/>
        </w:rPr>
        <w:t xml:space="preserve">2 курса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widowControl w:val="0"/>
        <w:ind w:left="-850.3937007874016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Общая трудоемкость дисциплины:</w:t>
      </w:r>
    </w:p>
    <w:p w:rsidR="00000000" w:rsidDel="00000000" w:rsidP="00000000" w:rsidRDefault="00000000" w:rsidRPr="00000000" w14:paraId="00000015">
      <w:pPr>
        <w:widowControl w:val="0"/>
        <w:ind w:left="-850.3937007874016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6 зачетных единиц, 216 академических часов.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ind w:left="-850.3937007874016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Компетенции, формируемые в результате освоения учебной дисциплины:</w:t>
      </w:r>
    </w:p>
    <w:p w:rsidR="00000000" w:rsidDel="00000000" w:rsidP="00000000" w:rsidRDefault="00000000" w:rsidRPr="00000000" w14:paraId="00000017">
      <w:pPr>
        <w:widowControl w:val="0"/>
        <w:ind w:left="-850.3937007874016" w:firstLine="0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УК-1 - Способен осуществлять поиск, критический анализ и синтез информации, применять системный подход для решения поставленных задач; </w:t>
      </w:r>
    </w:p>
    <w:p w:rsidR="00000000" w:rsidDel="00000000" w:rsidP="00000000" w:rsidRDefault="00000000" w:rsidRPr="00000000" w14:paraId="00000018">
      <w:pPr>
        <w:widowControl w:val="0"/>
        <w:ind w:left="-850.3937007874016" w:firstLine="0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УК-3 - </w:t>
      </w:r>
      <w:r w:rsidDel="00000000" w:rsidR="00000000" w:rsidRPr="00000000">
        <w:rPr>
          <w:rtl w:val="0"/>
        </w:rPr>
        <w:t xml:space="preserve">Способен осуществлять социальное взаимодействие и реализовывать свою роль в команде</w:t>
      </w:r>
      <w:r w:rsidDel="00000000" w:rsidR="00000000" w:rsidRPr="00000000">
        <w:rPr>
          <w:b w:val="0"/>
          <w:rtl w:val="0"/>
        </w:rPr>
        <w:t xml:space="preserve">; </w:t>
      </w:r>
    </w:p>
    <w:p w:rsidR="00000000" w:rsidDel="00000000" w:rsidP="00000000" w:rsidRDefault="00000000" w:rsidRPr="00000000" w14:paraId="00000019">
      <w:pPr>
        <w:widowControl w:val="0"/>
        <w:ind w:left="-850.3937007874016" w:firstLine="0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ПК-2 - Способен разрабатывать технические требования и задания на проектирование и конструирование оптических и оптико-электронных приборов, комплексов и их составных частей; </w:t>
      </w:r>
    </w:p>
    <w:p w:rsidR="00000000" w:rsidDel="00000000" w:rsidP="00000000" w:rsidRDefault="00000000" w:rsidRPr="00000000" w14:paraId="0000001A">
      <w:pPr>
        <w:widowControl w:val="0"/>
        <w:ind w:left="-850.3937007874016" w:firstLine="0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ПК-5 - Способен внедрять технологические процессы производства и контроля качества приборов, комплексов и их составных частей; </w:t>
      </w:r>
    </w:p>
    <w:p w:rsidR="00000000" w:rsidDel="00000000" w:rsidP="00000000" w:rsidRDefault="00000000" w:rsidRPr="00000000" w14:paraId="0000001B">
      <w:pPr>
        <w:widowControl w:val="0"/>
        <w:ind w:left="-850.3937007874016" w:firstLine="0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ПК-6 - Способен проектировать специальную оснастку, предусмотренную технологией изготовления приборов, комплексов и их составных частей; </w:t>
      </w:r>
    </w:p>
    <w:p w:rsidR="00000000" w:rsidDel="00000000" w:rsidP="00000000" w:rsidRDefault="00000000" w:rsidRPr="00000000" w14:paraId="0000001C">
      <w:pPr>
        <w:widowControl w:val="0"/>
        <w:ind w:left="-850.3937007874016" w:firstLine="0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В11 – Формирование культуры умственного труда</w:t>
      </w:r>
    </w:p>
    <w:p w:rsidR="00000000" w:rsidDel="00000000" w:rsidP="00000000" w:rsidRDefault="00000000" w:rsidRPr="00000000" w14:paraId="0000001D">
      <w:pPr>
        <w:ind w:left="-850.3937007874016" w:firstLine="0"/>
        <w:rPr/>
      </w:pPr>
      <w:r w:rsidDel="00000000" w:rsidR="00000000" w:rsidRPr="00000000">
        <w:rPr>
          <w:color w:val="000000"/>
          <w:rtl w:val="0"/>
        </w:rPr>
        <w:t xml:space="preserve">В17 </w:t>
      </w:r>
      <w:r w:rsidDel="00000000" w:rsidR="00000000" w:rsidRPr="00000000">
        <w:rPr>
          <w:b w:val="0"/>
          <w:rtl w:val="0"/>
        </w:rPr>
        <w:t xml:space="preserve">– </w:t>
      </w:r>
      <w:r w:rsidDel="00000000" w:rsidR="00000000" w:rsidRPr="00000000">
        <w:rPr>
          <w:rtl w:val="0"/>
        </w:rPr>
        <w:t xml:space="preserve">Формирование чувства личной ответственности за научно-технологическое развитие России, за результаты исследований и их последствия</w:t>
      </w:r>
    </w:p>
    <w:p w:rsidR="00000000" w:rsidDel="00000000" w:rsidP="00000000" w:rsidRDefault="00000000" w:rsidRPr="00000000" w14:paraId="0000001E">
      <w:pPr>
        <w:widowControl w:val="0"/>
        <w:ind w:left="-850.3937007874016" w:firstLine="0"/>
        <w:jc w:val="both"/>
        <w:rPr>
          <w:b w:val="0"/>
        </w:rPr>
      </w:pPr>
      <w:r w:rsidDel="00000000" w:rsidR="00000000" w:rsidRPr="00000000">
        <w:rPr>
          <w:color w:val="000000"/>
          <w:rtl w:val="0"/>
        </w:rPr>
        <w:t xml:space="preserve">В18 </w:t>
      </w:r>
      <w:r w:rsidDel="00000000" w:rsidR="00000000" w:rsidRPr="00000000">
        <w:rPr>
          <w:b w:val="0"/>
          <w:rtl w:val="0"/>
        </w:rPr>
        <w:t xml:space="preserve">– Формирование ответственности за профессиональный выбор, профессиональное развитие и профессиональные решения</w:t>
      </w:r>
    </w:p>
    <w:p w:rsidR="00000000" w:rsidDel="00000000" w:rsidP="00000000" w:rsidRDefault="00000000" w:rsidRPr="00000000" w14:paraId="0000001F">
      <w:pPr>
        <w:ind w:left="-850.3937007874016" w:firstLine="0"/>
        <w:rPr>
          <w:b w:val="0"/>
        </w:rPr>
      </w:pPr>
      <w:r w:rsidDel="00000000" w:rsidR="00000000" w:rsidRPr="00000000">
        <w:rPr>
          <w:color w:val="000000"/>
          <w:rtl w:val="0"/>
        </w:rPr>
        <w:t xml:space="preserve">В19 – </w:t>
      </w:r>
      <w:r w:rsidDel="00000000" w:rsidR="00000000" w:rsidRPr="00000000">
        <w:rPr>
          <w:rtl w:val="0"/>
        </w:rPr>
        <w:t xml:space="preserve">Формирование научного мировоззрения, культуры поиска нестандартных научно-технических решений, критического отношения к исследованиям лженаучного толка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ind w:left="-850.3937007874016" w:firstLine="0"/>
        <w:jc w:val="both"/>
        <w:rPr>
          <w:b w:val="0"/>
        </w:rPr>
      </w:pPr>
      <w:r w:rsidDel="00000000" w:rsidR="00000000" w:rsidRPr="00000000">
        <w:rPr>
          <w:color w:val="000000"/>
          <w:rtl w:val="0"/>
        </w:rPr>
        <w:t xml:space="preserve">В20 </w:t>
      </w:r>
      <w:r w:rsidDel="00000000" w:rsidR="00000000" w:rsidRPr="00000000">
        <w:rPr>
          <w:b w:val="0"/>
          <w:rtl w:val="0"/>
        </w:rPr>
        <w:t xml:space="preserve">– </w:t>
      </w:r>
      <w:r w:rsidDel="00000000" w:rsidR="00000000" w:rsidRPr="00000000">
        <w:rPr>
          <w:rtl w:val="0"/>
        </w:rPr>
        <w:t xml:space="preserve">Формирование навыков коммуникации, командной работы и лидерства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-850.3937007874016" w:firstLine="0"/>
        <w:rPr>
          <w:b w:val="0"/>
        </w:rPr>
      </w:pPr>
      <w:r w:rsidDel="00000000" w:rsidR="00000000" w:rsidRPr="00000000">
        <w:rPr>
          <w:color w:val="000000"/>
          <w:rtl w:val="0"/>
        </w:rPr>
        <w:t xml:space="preserve">В21 </w:t>
      </w:r>
      <w:r w:rsidDel="00000000" w:rsidR="00000000" w:rsidRPr="00000000">
        <w:rPr>
          <w:b w:val="0"/>
          <w:rtl w:val="0"/>
        </w:rPr>
        <w:t xml:space="preserve">– </w:t>
      </w:r>
      <w:r w:rsidDel="00000000" w:rsidR="00000000" w:rsidRPr="00000000">
        <w:rPr>
          <w:rtl w:val="0"/>
        </w:rPr>
        <w:t xml:space="preserve">Формирование способности и стремления следовать в профессии нормам поведения, обеспечивающим нравственный характер трудовой деятельности и неслужебного поведения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ind w:left="-850.3937007874016" w:firstLine="0"/>
        <w:jc w:val="both"/>
        <w:rPr>
          <w:b w:val="0"/>
        </w:rPr>
      </w:pPr>
      <w:r w:rsidDel="00000000" w:rsidR="00000000" w:rsidRPr="00000000">
        <w:rPr>
          <w:color w:val="000000"/>
          <w:rtl w:val="0"/>
        </w:rPr>
        <w:t xml:space="preserve">В22 </w:t>
      </w:r>
      <w:r w:rsidDel="00000000" w:rsidR="00000000" w:rsidRPr="00000000">
        <w:rPr>
          <w:b w:val="0"/>
          <w:rtl w:val="0"/>
        </w:rPr>
        <w:t xml:space="preserve">– Формирование творческого инженерного мышления, навыков организации коллективной проектной деятельности.</w:t>
      </w:r>
    </w:p>
    <w:p w:rsidR="00000000" w:rsidDel="00000000" w:rsidP="00000000" w:rsidRDefault="00000000" w:rsidRPr="00000000" w14:paraId="00000023">
      <w:pPr>
        <w:ind w:left="-850.3937007874016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В23 </w:t>
      </w:r>
      <w:r w:rsidDel="00000000" w:rsidR="00000000" w:rsidRPr="00000000">
        <w:rPr>
          <w:b w:val="0"/>
          <w:rtl w:val="0"/>
        </w:rPr>
        <w:t xml:space="preserve">– </w:t>
      </w:r>
      <w:r w:rsidDel="00000000" w:rsidR="00000000" w:rsidRPr="00000000">
        <w:rPr>
          <w:rtl w:val="0"/>
        </w:rPr>
        <w:t xml:space="preserve">Формирование культуры информационной безопасности</w:t>
      </w:r>
      <w:r w:rsidDel="00000000" w:rsidR="00000000" w:rsidRPr="00000000">
        <w:rPr>
          <w:color w:val="000000"/>
          <w:rtl w:val="0"/>
        </w:rPr>
        <w:t xml:space="preserve">. </w:t>
      </w:r>
    </w:p>
    <w:p w:rsidR="00000000" w:rsidDel="00000000" w:rsidP="00000000" w:rsidRDefault="00000000" w:rsidRPr="00000000" w14:paraId="00000024">
      <w:pPr>
        <w:ind w:left="-850.3937007874016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В24 </w:t>
      </w:r>
      <w:r w:rsidDel="00000000" w:rsidR="00000000" w:rsidRPr="00000000">
        <w:rPr>
          <w:b w:val="0"/>
          <w:rtl w:val="0"/>
        </w:rPr>
        <w:t xml:space="preserve">– </w:t>
      </w:r>
      <w:r w:rsidDel="00000000" w:rsidR="00000000" w:rsidRPr="00000000">
        <w:rPr>
          <w:rtl w:val="0"/>
        </w:rPr>
        <w:t xml:space="preserve">Формирование культуры ядерной и радиационной безопасности</w:t>
      </w:r>
      <w:r w:rsidDel="00000000" w:rsidR="00000000" w:rsidRPr="00000000">
        <w:rPr>
          <w:color w:val="000000"/>
          <w:rtl w:val="0"/>
        </w:rPr>
        <w:t xml:space="preserve">. </w:t>
      </w:r>
    </w:p>
    <w:p w:rsidR="00000000" w:rsidDel="00000000" w:rsidP="00000000" w:rsidRDefault="00000000" w:rsidRPr="00000000" w14:paraId="00000025">
      <w:pPr>
        <w:ind w:left="-850.3937007874016" w:firstLine="0"/>
        <w:rPr>
          <w:b w:val="0"/>
        </w:rPr>
      </w:pPr>
      <w:r w:rsidDel="00000000" w:rsidR="00000000" w:rsidRPr="00000000">
        <w:rPr>
          <w:color w:val="000000"/>
          <w:rtl w:val="0"/>
        </w:rPr>
        <w:t xml:space="preserve">В25 </w:t>
      </w:r>
      <w:r w:rsidDel="00000000" w:rsidR="00000000" w:rsidRPr="00000000">
        <w:rPr>
          <w:b w:val="0"/>
          <w:rtl w:val="0"/>
        </w:rPr>
        <w:t xml:space="preserve">– Формирование профессиональной ответственности в области разработки, а также применения современный методов, приборов и систем для достижения устойчивого развития мирных ядерных технологий, направленных на улучшение труда и жизни человека.</w:t>
      </w:r>
    </w:p>
    <w:p w:rsidR="00000000" w:rsidDel="00000000" w:rsidP="00000000" w:rsidRDefault="00000000" w:rsidRPr="00000000" w14:paraId="00000026">
      <w:pPr>
        <w:ind w:left="-850.3937007874016" w:firstLine="0"/>
        <w:rPr>
          <w:b w:val="0"/>
        </w:rPr>
      </w:pPr>
      <w:r w:rsidDel="00000000" w:rsidR="00000000" w:rsidRPr="00000000">
        <w:rPr>
          <w:color w:val="000000"/>
          <w:rtl w:val="0"/>
        </w:rPr>
        <w:t xml:space="preserve">В26 </w:t>
      </w:r>
      <w:r w:rsidDel="00000000" w:rsidR="00000000" w:rsidRPr="00000000">
        <w:rPr>
          <w:b w:val="0"/>
          <w:rtl w:val="0"/>
        </w:rPr>
        <w:t xml:space="preserve">– </w:t>
      </w:r>
      <w:r w:rsidDel="00000000" w:rsidR="00000000" w:rsidRPr="00000000">
        <w:rPr>
          <w:rtl w:val="0"/>
        </w:rPr>
        <w:t xml:space="preserve">Формирование ответственной позиции по применению ядерных технологий в свете сохранения окружающей среды для будущих поколений.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-850.3937007874016" w:firstLine="0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-850.3937007874016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Знания, умения и навыки, получаемые в процессе изучения дисциплины:</w:t>
      </w:r>
    </w:p>
    <w:p w:rsidR="00000000" w:rsidDel="00000000" w:rsidP="00000000" w:rsidRDefault="00000000" w:rsidRPr="00000000" w14:paraId="00000029">
      <w:pPr>
        <w:ind w:left="-850.3937007874016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уметь: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-850.3937007874016" w:firstLine="0"/>
        <w:rPr/>
      </w:pPr>
      <w:r w:rsidDel="00000000" w:rsidR="00000000" w:rsidRPr="00000000">
        <w:rPr>
          <w:rtl w:val="0"/>
        </w:rPr>
        <w:t xml:space="preserve">формировать</w:t>
        <w:tab/>
        <w:t xml:space="preserve">цели</w:t>
        <w:tab/>
        <w:t xml:space="preserve">и</w:t>
        <w:tab/>
        <w:t xml:space="preserve">задачи</w:t>
        <w:tab/>
        <w:t xml:space="preserve">инженерного</w:t>
        <w:tab/>
        <w:t xml:space="preserve">проекта</w:t>
        <w:tab/>
        <w:t xml:space="preserve">при</w:t>
        <w:tab/>
        <w:t xml:space="preserve">решении производственных вопросов, в том числе по теме дипломирования;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-850.3937007874016" w:firstLine="0"/>
        <w:rPr/>
      </w:pPr>
      <w:r w:rsidDel="00000000" w:rsidR="00000000" w:rsidRPr="00000000">
        <w:rPr>
          <w:rtl w:val="0"/>
        </w:rPr>
        <w:t xml:space="preserve">проводить систематизацию и анализ научно-технической информации по теме дипломирования;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-850.3937007874016" w:firstLine="0"/>
        <w:rPr/>
      </w:pPr>
      <w:r w:rsidDel="00000000" w:rsidR="00000000" w:rsidRPr="00000000">
        <w:rPr>
          <w:rtl w:val="0"/>
        </w:rPr>
        <w:t xml:space="preserve">разрабатывать эскизные проекты по модернизации средств контроля и управления технологическими процессами на предприятии;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-850.3937007874016" w:firstLine="0"/>
        <w:rPr/>
      </w:pPr>
      <w:r w:rsidDel="00000000" w:rsidR="00000000" w:rsidRPr="00000000">
        <w:rPr>
          <w:rtl w:val="0"/>
        </w:rPr>
        <w:t xml:space="preserve">разрабатывать теоретические модели исследуемых процессов;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-850.3937007874016" w:firstLine="0"/>
        <w:rPr/>
      </w:pPr>
      <w:r w:rsidDel="00000000" w:rsidR="00000000" w:rsidRPr="00000000">
        <w:rPr>
          <w:rtl w:val="0"/>
        </w:rPr>
        <w:t xml:space="preserve">производить расчеты параметров и режимов работы средств и систем автоматики;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-850.3937007874016" w:firstLine="0"/>
        <w:rPr/>
      </w:pPr>
      <w:r w:rsidDel="00000000" w:rsidR="00000000" w:rsidRPr="00000000">
        <w:rPr>
          <w:rtl w:val="0"/>
        </w:rPr>
        <w:t xml:space="preserve">использовать</w:t>
        <w:tab/>
        <w:t xml:space="preserve">информационные</w:t>
        <w:tab/>
        <w:t xml:space="preserve">технологии,</w:t>
        <w:tab/>
        <w:t xml:space="preserve">системы автоматизированного проектирования и современные инженерные методы при разработке или модернизации приборов, систем автоматики, установок, процессов;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-850.3937007874016" w:firstLine="0"/>
        <w:rPr/>
      </w:pPr>
      <w:r w:rsidDel="00000000" w:rsidR="00000000" w:rsidRPr="00000000">
        <w:rPr>
          <w:rtl w:val="0"/>
        </w:rPr>
        <w:t xml:space="preserve">оформлять результаты работы в соответствии со стандартами отрасли.</w:t>
      </w:r>
    </w:p>
    <w:p w:rsidR="00000000" w:rsidDel="00000000" w:rsidP="00000000" w:rsidRDefault="00000000" w:rsidRPr="00000000" w14:paraId="00000031">
      <w:pPr>
        <w:ind w:left="-850.393700787401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-850.3937007874016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иметь навыки: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ind w:left="-850.3937007874016" w:firstLine="0"/>
        <w:rPr/>
      </w:pPr>
      <w:r w:rsidDel="00000000" w:rsidR="00000000" w:rsidRPr="00000000">
        <w:rPr>
          <w:rtl w:val="0"/>
        </w:rPr>
        <w:t xml:space="preserve">в составлении технического задания при проектировании средств и систем контроля, диагностики и управления физическими установками;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-850.3937007874016" w:firstLine="0"/>
        <w:rPr/>
      </w:pPr>
      <w:r w:rsidDel="00000000" w:rsidR="00000000" w:rsidRPr="00000000">
        <w:rPr>
          <w:rtl w:val="0"/>
        </w:rPr>
        <w:t xml:space="preserve">в разработке методов контроля, диагностики и управления приборов и автоматизированных систем;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left="-850.3937007874016" w:firstLine="0"/>
        <w:rPr/>
      </w:pPr>
      <w:r w:rsidDel="00000000" w:rsidR="00000000" w:rsidRPr="00000000">
        <w:rPr>
          <w:rtl w:val="0"/>
        </w:rPr>
        <w:t xml:space="preserve">в</w:t>
        <w:tab/>
        <w:t xml:space="preserve">разработке</w:t>
        <w:tab/>
        <w:t xml:space="preserve">проектной</w:t>
        <w:tab/>
        <w:t xml:space="preserve">и</w:t>
        <w:tab/>
        <w:t xml:space="preserve">рабочей</w:t>
        <w:tab/>
        <w:t xml:space="preserve">конструкторско-технической документации;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ind w:left="-850.3937007874016" w:firstLine="0"/>
        <w:rPr/>
      </w:pPr>
      <w:r w:rsidDel="00000000" w:rsidR="00000000" w:rsidRPr="00000000">
        <w:rPr>
          <w:rtl w:val="0"/>
        </w:rPr>
        <w:t xml:space="preserve">в</w:t>
        <w:tab/>
        <w:t xml:space="preserve">составлении</w:t>
        <w:tab/>
        <w:t xml:space="preserve">патентных</w:t>
        <w:tab/>
        <w:t xml:space="preserve">и</w:t>
        <w:tab/>
        <w:t xml:space="preserve">лицензионных</w:t>
        <w:tab/>
        <w:t xml:space="preserve">паспортов</w:t>
        <w:tab/>
        <w:t xml:space="preserve">заявок</w:t>
        <w:tab/>
        <w:t xml:space="preserve">на изобретения и промышленные образцы.</w:t>
      </w:r>
    </w:p>
    <w:p w:rsidR="00000000" w:rsidDel="00000000" w:rsidP="00000000" w:rsidRDefault="00000000" w:rsidRPr="00000000" w14:paraId="00000037">
      <w:pPr>
        <w:ind w:left="-850.3937007874016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Формы итогового контроля:</w:t>
      </w:r>
    </w:p>
    <w:p w:rsidR="00000000" w:rsidDel="00000000" w:rsidP="00000000" w:rsidRDefault="00000000" w:rsidRPr="00000000" w14:paraId="00000038">
      <w:pPr>
        <w:ind w:left="-850.3937007874016" w:firstLine="0"/>
        <w:rPr/>
      </w:pPr>
      <w:r w:rsidDel="00000000" w:rsidR="00000000" w:rsidRPr="00000000">
        <w:rPr>
          <w:rtl w:val="0"/>
        </w:rPr>
        <w:t xml:space="preserve">Зачет с оценкой.</w:t>
      </w:r>
    </w:p>
    <w:p w:rsidR="00000000" w:rsidDel="00000000" w:rsidP="00000000" w:rsidRDefault="00000000" w:rsidRPr="00000000" w14:paraId="00000039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42" w:hanging="241"/>
      </w:pPr>
      <w:rPr>
        <w:b w:val="1"/>
      </w:rPr>
    </w:lvl>
    <w:lvl w:ilvl="1">
      <w:start w:val="0"/>
      <w:numFmt w:val="bullet"/>
      <w:lvlText w:val="●"/>
      <w:lvlJc w:val="left"/>
      <w:pPr>
        <w:ind w:left="1022" w:hanging="361"/>
      </w:pPr>
      <w:rPr>
        <w:rFonts w:ascii="Arial" w:cs="Arial" w:eastAsia="Arial" w:hAnsi="Arial"/>
        <w:sz w:val="28"/>
        <w:szCs w:val="28"/>
      </w:rPr>
    </w:lvl>
    <w:lvl w:ilvl="2">
      <w:start w:val="0"/>
      <w:numFmt w:val="bullet"/>
      <w:lvlText w:val="●"/>
      <w:lvlJc w:val="left"/>
      <w:pPr>
        <w:ind w:left="1743" w:hanging="360.99999999999955"/>
      </w:pPr>
      <w:rPr>
        <w:rFonts w:ascii="Arial" w:cs="Arial" w:eastAsia="Arial" w:hAnsi="Arial"/>
        <w:sz w:val="28"/>
        <w:szCs w:val="28"/>
      </w:rPr>
    </w:lvl>
    <w:lvl w:ilvl="3">
      <w:start w:val="0"/>
      <w:numFmt w:val="bullet"/>
      <w:lvlText w:val="•"/>
      <w:lvlJc w:val="left"/>
      <w:pPr>
        <w:ind w:left="2770" w:hanging="361"/>
      </w:pPr>
      <w:rPr/>
    </w:lvl>
    <w:lvl w:ilvl="4">
      <w:start w:val="0"/>
      <w:numFmt w:val="bullet"/>
      <w:lvlText w:val="•"/>
      <w:lvlJc w:val="left"/>
      <w:pPr>
        <w:ind w:left="3800" w:hanging="361"/>
      </w:pPr>
      <w:rPr/>
    </w:lvl>
    <w:lvl w:ilvl="5">
      <w:start w:val="0"/>
      <w:numFmt w:val="bullet"/>
      <w:lvlText w:val="•"/>
      <w:lvlJc w:val="left"/>
      <w:pPr>
        <w:ind w:left="4830" w:hanging="361"/>
      </w:pPr>
      <w:rPr/>
    </w:lvl>
    <w:lvl w:ilvl="6">
      <w:start w:val="0"/>
      <w:numFmt w:val="bullet"/>
      <w:lvlText w:val="•"/>
      <w:lvlJc w:val="left"/>
      <w:pPr>
        <w:ind w:left="5860" w:hanging="361"/>
      </w:pPr>
      <w:rPr/>
    </w:lvl>
    <w:lvl w:ilvl="7">
      <w:start w:val="0"/>
      <w:numFmt w:val="bullet"/>
      <w:lvlText w:val="•"/>
      <w:lvlJc w:val="left"/>
      <w:pPr>
        <w:ind w:left="6890" w:hanging="361"/>
      </w:pPr>
      <w:rPr/>
    </w:lvl>
    <w:lvl w:ilvl="8">
      <w:start w:val="0"/>
      <w:numFmt w:val="bullet"/>
      <w:lvlText w:val="•"/>
      <w:lvlJc w:val="left"/>
      <w:pPr>
        <w:ind w:left="7920" w:hanging="361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06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jBw+Pqstfh9VjWjNQN0hNAj9BQ==">CgMxLjAyCGguZ2pkZ3hzOAByITFucE1ZNl9PaW5tWXNPZ19feFUwS2RtNmk2S2NjUGY5RA==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